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F458E" w:rsidRDefault="008B4BD8" w:rsidP="004F458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0C486B" w:rsidRPr="004F458E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24292B" w:rsidRPr="004F458E">
              <w:rPr>
                <w:rFonts w:asciiTheme="majorHAnsi" w:hAnsiTheme="majorHAnsi" w:cstheme="majorHAnsi"/>
                <w:b w:val="0"/>
                <w:lang w:val="hr-HR"/>
              </w:rPr>
              <w:t>korisnicima prava na doplatak za djecu</w:t>
            </w:r>
            <w:r w:rsidR="006A219A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4F458E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4F458E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443086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4F458E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983FED" w:rsidRPr="004F458E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F458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F458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A48A0">
              <w:rPr>
                <w:rFonts w:asciiTheme="majorHAnsi" w:hAnsiTheme="majorHAnsi" w:cstheme="majorHAnsi"/>
                <w:lang w:val="hr-HR"/>
              </w:rPr>
            </w:r>
            <w:r w:rsidR="002A48A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A48A0">
              <w:rPr>
                <w:rFonts w:asciiTheme="majorHAnsi" w:hAnsiTheme="majorHAnsi" w:cstheme="majorHAnsi"/>
                <w:lang w:val="hr-HR"/>
              </w:rPr>
            </w:r>
            <w:r w:rsidR="002A48A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A48A0">
              <w:rPr>
                <w:rFonts w:asciiTheme="majorHAnsi" w:hAnsiTheme="majorHAnsi" w:cstheme="majorHAnsi"/>
                <w:lang w:val="hr-HR"/>
              </w:rPr>
            </w:r>
            <w:r w:rsidR="002A48A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A48A0">
              <w:rPr>
                <w:rFonts w:asciiTheme="majorHAnsi" w:hAnsiTheme="majorHAnsi" w:cstheme="majorHAnsi"/>
                <w:lang w:val="hr-HR"/>
              </w:rPr>
            </w:r>
            <w:r w:rsidR="002A48A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A48A0">
              <w:rPr>
                <w:rFonts w:asciiTheme="majorHAnsi" w:hAnsiTheme="majorHAnsi" w:cstheme="majorHAnsi"/>
                <w:szCs w:val="17"/>
                <w:lang w:val="hr-HR"/>
              </w:rPr>
            </w:r>
            <w:r w:rsidR="002A48A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A48A0">
              <w:rPr>
                <w:rFonts w:asciiTheme="majorHAnsi" w:hAnsiTheme="majorHAnsi" w:cstheme="majorHAnsi"/>
                <w:szCs w:val="17"/>
                <w:lang w:val="hr-HR"/>
              </w:rPr>
            </w:r>
            <w:r w:rsidR="002A48A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A48A0">
              <w:rPr>
                <w:rFonts w:asciiTheme="majorHAnsi" w:hAnsiTheme="majorHAnsi" w:cstheme="majorHAnsi"/>
                <w:szCs w:val="17"/>
                <w:lang w:val="hr-HR"/>
              </w:rPr>
            </w:r>
            <w:r w:rsidR="002A48A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A48A0">
              <w:rPr>
                <w:rFonts w:asciiTheme="majorHAnsi" w:hAnsiTheme="majorHAnsi" w:cstheme="majorHAnsi"/>
                <w:szCs w:val="17"/>
                <w:lang w:val="hr-HR"/>
              </w:rPr>
            </w:r>
            <w:r w:rsidR="002A48A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A0" w:rsidRDefault="002A48A0" w:rsidP="00176E67">
      <w:r>
        <w:separator/>
      </w:r>
    </w:p>
  </w:endnote>
  <w:endnote w:type="continuationSeparator" w:id="0">
    <w:p w:rsidR="002A48A0" w:rsidRDefault="002A48A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8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A0" w:rsidRDefault="002A48A0" w:rsidP="00176E67">
      <w:r>
        <w:separator/>
      </w:r>
    </w:p>
  </w:footnote>
  <w:footnote w:type="continuationSeparator" w:id="0">
    <w:p w:rsidR="002A48A0" w:rsidRDefault="002A48A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486B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4292B"/>
    <w:rsid w:val="00250014"/>
    <w:rsid w:val="00275BB5"/>
    <w:rsid w:val="00286F6A"/>
    <w:rsid w:val="00291C8C"/>
    <w:rsid w:val="002A1ECE"/>
    <w:rsid w:val="002A2510"/>
    <w:rsid w:val="002A48A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427C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458E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Nataša Jakoplić</cp:lastModifiedBy>
  <cp:revision>2</cp:revision>
  <cp:lastPrinted>2018-07-03T09:01:00Z</cp:lastPrinted>
  <dcterms:created xsi:type="dcterms:W3CDTF">2022-09-01T06:23:00Z</dcterms:created>
  <dcterms:modified xsi:type="dcterms:W3CDTF">2022-09-01T06:23:00Z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